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B19" w:rsidRDefault="00A03B19" w:rsidP="00A03B19">
      <w:pPr>
        <w:pStyle w:val="NormalWeb"/>
        <w:tabs>
          <w:tab w:val="left" w:pos="993"/>
        </w:tabs>
        <w:spacing w:line="276" w:lineRule="auto"/>
        <w:rPr>
          <w:rStyle w:val="label-above"/>
          <w:rFonts w:asciiTheme="minorHAnsi" w:hAnsiTheme="minorHAnsi" w:cstheme="minorHAnsi"/>
          <w:b/>
          <w:shd w:val="clear" w:color="auto" w:fill="FFFFFF"/>
        </w:rPr>
      </w:pPr>
      <w:r>
        <w:rPr>
          <w:rStyle w:val="label-above"/>
          <w:rFonts w:asciiTheme="minorHAnsi" w:hAnsiTheme="minorHAnsi" w:cstheme="minorHAnsi"/>
          <w:b/>
          <w:shd w:val="clear" w:color="auto" w:fill="FFFFFF"/>
        </w:rPr>
        <w:t>(</w:t>
      </w:r>
      <w:r w:rsidR="00252FD6" w:rsidRPr="00A03B19">
        <w:rPr>
          <w:rStyle w:val="label-above"/>
          <w:rFonts w:asciiTheme="minorHAnsi" w:hAnsiTheme="minorHAnsi" w:cstheme="minorHAnsi"/>
          <w:b/>
          <w:shd w:val="clear" w:color="auto" w:fill="FFFFFF"/>
        </w:rPr>
        <w:t>V1</w:t>
      </w:r>
      <w:r>
        <w:rPr>
          <w:rStyle w:val="label-above"/>
          <w:rFonts w:asciiTheme="minorHAnsi" w:hAnsiTheme="minorHAnsi" w:cstheme="minorHAnsi"/>
          <w:b/>
          <w:shd w:val="clear" w:color="auto" w:fill="FFFFFF"/>
        </w:rPr>
        <w:t>)</w:t>
      </w:r>
    </w:p>
    <w:p w:rsidR="00252FD6" w:rsidRPr="00A03B19" w:rsidRDefault="005A78F8" w:rsidP="00A03B19">
      <w:pPr>
        <w:pStyle w:val="NormalWeb"/>
        <w:tabs>
          <w:tab w:val="left" w:pos="993"/>
        </w:tabs>
        <w:spacing w:line="276" w:lineRule="auto"/>
        <w:rPr>
          <w:rStyle w:val="label-above"/>
          <w:rFonts w:asciiTheme="minorHAnsi" w:hAnsiTheme="minorHAnsi" w:cstheme="minorHAnsi"/>
        </w:rPr>
      </w:pPr>
      <w:r>
        <w:rPr>
          <w:rStyle w:val="label-above"/>
          <w:rFonts w:asciiTheme="minorHAnsi" w:hAnsiTheme="minorHAnsi" w:cstheme="minorHAnsi"/>
          <w:shd w:val="clear" w:color="auto" w:fill="FFFFFF"/>
        </w:rPr>
        <w:t>C</w:t>
      </w:r>
      <w:r w:rsidR="008374D9">
        <w:rPr>
          <w:rStyle w:val="label-above"/>
          <w:rFonts w:asciiTheme="minorHAnsi" w:hAnsiTheme="minorHAnsi" w:cstheme="minorHAnsi"/>
          <w:shd w:val="clear" w:color="auto" w:fill="FFFFFF"/>
        </w:rPr>
        <w:t>omments to the</w:t>
      </w:r>
      <w:r w:rsidR="00252FD6" w:rsidRPr="00A03B19">
        <w:rPr>
          <w:rFonts w:asciiTheme="minorHAnsi" w:hAnsiTheme="minorHAnsi" w:cstheme="minorHAnsi"/>
        </w:rPr>
        <w:t xml:space="preserve"> </w:t>
      </w:r>
      <w:r w:rsidR="00252FD6" w:rsidRPr="00A03B19">
        <w:rPr>
          <w:rStyle w:val="label-above"/>
          <w:rFonts w:asciiTheme="minorHAnsi" w:hAnsiTheme="minorHAnsi" w:cstheme="minorHAnsi"/>
          <w:shd w:val="clear" w:color="auto" w:fill="FFFFFF"/>
        </w:rPr>
        <w:t>Dep</w:t>
      </w:r>
      <w:r w:rsidR="00CD4B41">
        <w:rPr>
          <w:rStyle w:val="label-above"/>
          <w:rFonts w:asciiTheme="minorHAnsi" w:hAnsiTheme="minorHAnsi" w:cstheme="minorHAnsi"/>
          <w:shd w:val="clear" w:color="auto" w:fill="FFFFFF"/>
        </w:rPr>
        <w:t>artment</w:t>
      </w:r>
      <w:r w:rsidR="00252FD6" w:rsidRPr="00A03B19">
        <w:rPr>
          <w:rStyle w:val="label-above"/>
          <w:rFonts w:asciiTheme="minorHAnsi" w:hAnsiTheme="minorHAnsi" w:cstheme="minorHAnsi"/>
          <w:shd w:val="clear" w:color="auto" w:fill="FFFFFF"/>
        </w:rPr>
        <w:t xml:space="preserve"> of Health Budget </w:t>
      </w:r>
      <w:r w:rsidR="008374D9">
        <w:rPr>
          <w:rStyle w:val="label-above"/>
          <w:rFonts w:asciiTheme="minorHAnsi" w:hAnsiTheme="minorHAnsi" w:cstheme="minorHAnsi"/>
          <w:shd w:val="clear" w:color="auto" w:fill="FFFFFF"/>
        </w:rPr>
        <w:t xml:space="preserve">Outcome </w:t>
      </w:r>
      <w:r w:rsidR="00252FD6" w:rsidRPr="00A03B19">
        <w:rPr>
          <w:rStyle w:val="label-above"/>
          <w:rFonts w:asciiTheme="minorHAnsi" w:hAnsiTheme="minorHAnsi" w:cstheme="minorHAnsi"/>
          <w:shd w:val="clear" w:color="auto" w:fill="FFFFFF"/>
        </w:rPr>
        <w:t>202</w:t>
      </w:r>
      <w:r w:rsidR="008374D9">
        <w:rPr>
          <w:rStyle w:val="label-above"/>
          <w:rFonts w:asciiTheme="minorHAnsi" w:hAnsiTheme="minorHAnsi" w:cstheme="minorHAnsi"/>
          <w:shd w:val="clear" w:color="auto" w:fill="FFFFFF"/>
        </w:rPr>
        <w:t>3-24 Equality Impact Assessment</w:t>
      </w:r>
    </w:p>
    <w:p w:rsidR="001C3EA0" w:rsidRPr="00011EBA" w:rsidRDefault="001C3EA0" w:rsidP="001C3EA0">
      <w:pPr>
        <w:pStyle w:val="NormalWeb"/>
        <w:tabs>
          <w:tab w:val="left" w:pos="993"/>
        </w:tabs>
        <w:spacing w:line="276" w:lineRule="auto"/>
        <w:rPr>
          <w:rStyle w:val="label-above"/>
          <w:rFonts w:asciiTheme="minorHAnsi" w:hAnsiTheme="minorHAnsi" w:cstheme="minorHAnsi"/>
          <w:b/>
          <w:sz w:val="20"/>
          <w:szCs w:val="20"/>
          <w:u w:val="single"/>
          <w:shd w:val="clear" w:color="auto" w:fill="FFFFFF"/>
        </w:rPr>
      </w:pPr>
      <w:r w:rsidRPr="00011EBA">
        <w:rPr>
          <w:rStyle w:val="label-above"/>
          <w:rFonts w:asciiTheme="minorHAnsi" w:hAnsiTheme="minorHAnsi" w:cstheme="minorHAnsi"/>
          <w:b/>
          <w:sz w:val="20"/>
          <w:szCs w:val="20"/>
          <w:u w:val="single"/>
          <w:shd w:val="clear" w:color="auto" w:fill="FFFFFF"/>
        </w:rPr>
        <w:t xml:space="preserve">ANSWER 4.A   </w:t>
      </w:r>
    </w:p>
    <w:p w:rsidR="001C3EA0" w:rsidRPr="00011EBA" w:rsidRDefault="001C3EA0" w:rsidP="001C3EA0">
      <w:pPr>
        <w:tabs>
          <w:tab w:val="left" w:pos="993"/>
        </w:tabs>
        <w:rPr>
          <w:rFonts w:cstheme="minorHAnsi"/>
          <w:b/>
          <w:color w:val="002060"/>
          <w:sz w:val="20"/>
          <w:szCs w:val="20"/>
        </w:rPr>
      </w:pPr>
      <w:r w:rsidRPr="00011EBA">
        <w:rPr>
          <w:rFonts w:cstheme="minorHAnsi"/>
          <w:b/>
          <w:color w:val="002060"/>
          <w:sz w:val="20"/>
          <w:szCs w:val="20"/>
        </w:rPr>
        <w:t xml:space="preserve">&gt;Question a.  Are there any adverse impacts in relation to any of the Section 75 equality groups that have not been identified in section 5 of the EQIA Consultation document? If so, what are they? Please provide details. </w:t>
      </w:r>
    </w:p>
    <w:p w:rsidR="001C3EA0" w:rsidRPr="00011EBA" w:rsidRDefault="001C3EA0" w:rsidP="001C3EA0">
      <w:pPr>
        <w:tabs>
          <w:tab w:val="left" w:pos="993"/>
        </w:tabs>
        <w:autoSpaceDE w:val="0"/>
        <w:autoSpaceDN w:val="0"/>
        <w:adjustRightInd w:val="0"/>
        <w:spacing w:after="0"/>
        <w:rPr>
          <w:rFonts w:cstheme="minorHAnsi"/>
          <w:i/>
          <w:sz w:val="20"/>
          <w:szCs w:val="20"/>
        </w:rPr>
      </w:pPr>
      <w:r w:rsidRPr="00011EBA">
        <w:rPr>
          <w:rFonts w:cstheme="minorHAnsi"/>
          <w:sz w:val="20"/>
          <w:szCs w:val="20"/>
        </w:rPr>
        <w:t xml:space="preserve">Yes, this document has failed to identify that ALL Equality Groups of </w:t>
      </w:r>
      <w:r w:rsidR="007D5568">
        <w:rPr>
          <w:rFonts w:cstheme="minorHAnsi"/>
          <w:sz w:val="20"/>
          <w:szCs w:val="20"/>
        </w:rPr>
        <w:t>adults and children within the highest</w:t>
      </w:r>
      <w:r w:rsidRPr="00011EBA">
        <w:rPr>
          <w:rFonts w:cstheme="minorHAnsi"/>
          <w:sz w:val="20"/>
          <w:szCs w:val="20"/>
        </w:rPr>
        <w:t xml:space="preserve"> LGD population in the Southern Trust area,</w:t>
      </w:r>
      <w:r w:rsidR="00EB423A" w:rsidRPr="00011EBA">
        <w:rPr>
          <w:rFonts w:cstheme="minorHAnsi"/>
          <w:sz w:val="20"/>
          <w:szCs w:val="20"/>
        </w:rPr>
        <w:t xml:space="preserve"> </w:t>
      </w:r>
      <w:r w:rsidRPr="00011EBA">
        <w:rPr>
          <w:rFonts w:cstheme="minorHAnsi"/>
          <w:sz w:val="20"/>
          <w:szCs w:val="20"/>
        </w:rPr>
        <w:t>with the largest population of children</w:t>
      </w:r>
      <w:r w:rsidR="007D5568">
        <w:rPr>
          <w:rFonts w:cstheme="minorHAnsi"/>
          <w:sz w:val="20"/>
          <w:szCs w:val="20"/>
        </w:rPr>
        <w:t xml:space="preserve">, </w:t>
      </w:r>
      <w:r w:rsidRPr="00011EBA">
        <w:rPr>
          <w:rFonts w:cstheme="minorHAnsi"/>
          <w:sz w:val="20"/>
          <w:szCs w:val="20"/>
        </w:rPr>
        <w:t xml:space="preserve"> Newry &amp; Mourne LGD will be negatively adversely impacted by Proposals made on p8 and 18 of the Budget:  </w:t>
      </w:r>
      <w:r w:rsidRPr="00011EBA">
        <w:rPr>
          <w:rFonts w:cstheme="minorHAnsi"/>
          <w:i/>
          <w:sz w:val="20"/>
          <w:szCs w:val="20"/>
        </w:rPr>
        <w:t>“a number of critical capital schemes that the Department would like to commence in 2023/24 which include ...the new Community Treatment Centre in Newry, the provision of additional bed capacity at Craigavon Area Hospital ...”</w:t>
      </w:r>
    </w:p>
    <w:p w:rsidR="001C3EA0" w:rsidRPr="00011EBA" w:rsidRDefault="001C3EA0" w:rsidP="001C3EA0">
      <w:pPr>
        <w:tabs>
          <w:tab w:val="left" w:pos="993"/>
        </w:tabs>
        <w:autoSpaceDE w:val="0"/>
        <w:autoSpaceDN w:val="0"/>
        <w:adjustRightInd w:val="0"/>
        <w:spacing w:after="0"/>
        <w:rPr>
          <w:rFonts w:cstheme="minorHAnsi"/>
          <w:i/>
          <w:sz w:val="20"/>
          <w:szCs w:val="20"/>
        </w:rPr>
      </w:pP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Style w:val="label-above"/>
          <w:rFonts w:cstheme="minorHAnsi"/>
          <w:sz w:val="20"/>
          <w:szCs w:val="20"/>
          <w:shd w:val="clear" w:color="auto" w:fill="FFFFFF"/>
        </w:rPr>
        <w:t xml:space="preserve">The operational area of </w:t>
      </w:r>
      <w:r w:rsidRPr="00011EBA">
        <w:rPr>
          <w:rFonts w:cstheme="minorHAnsi"/>
          <w:sz w:val="20"/>
          <w:szCs w:val="20"/>
        </w:rPr>
        <w:t>Health Trusts remain under the 26 council model*</w:t>
      </w:r>
      <w:r w:rsidRPr="00011EBA">
        <w:rPr>
          <w:rStyle w:val="label-above"/>
          <w:rFonts w:cstheme="minorHAnsi"/>
          <w:sz w:val="20"/>
          <w:szCs w:val="20"/>
          <w:shd w:val="clear" w:color="auto" w:fill="FFFFFF"/>
        </w:rPr>
        <w:t xml:space="preserve"> and Newry &amp; Mourne LGD has ALWAYS been the highest population with the highest number of children in the Southern Trust (See NISRA statistics). Newry &amp; Mourne also has the largest land mass area with a large rural population as well as urban population, but once again, under the Southern Trust Newry &amp; Mourne population is not being allocated the budget they are entitled to for their population size.  (* Source: Registrar General Annual Report 2015 (published  2016) ).</w:t>
      </w:r>
    </w:p>
    <w:p w:rsidR="001C3EA0" w:rsidRPr="00011EBA" w:rsidRDefault="001C3EA0" w:rsidP="001C3EA0">
      <w:pPr>
        <w:pStyle w:val="NormalWeb"/>
        <w:tabs>
          <w:tab w:val="left" w:pos="993"/>
        </w:tabs>
        <w:spacing w:line="276" w:lineRule="auto"/>
        <w:rPr>
          <w:rStyle w:val="label-above"/>
          <w:rFonts w:asciiTheme="minorHAnsi" w:hAnsiTheme="minorHAnsi" w:cstheme="minorHAnsi"/>
          <w:b/>
          <w:sz w:val="20"/>
          <w:szCs w:val="20"/>
          <w:u w:val="single"/>
          <w:shd w:val="clear" w:color="auto" w:fill="FFFFFF"/>
        </w:rPr>
      </w:pPr>
      <w:r w:rsidRPr="00011EBA">
        <w:rPr>
          <w:rFonts w:asciiTheme="minorHAnsi" w:hAnsiTheme="minorHAnsi" w:cstheme="minorHAnsi"/>
          <w:sz w:val="20"/>
          <w:szCs w:val="20"/>
        </w:rPr>
        <w:t xml:space="preserve">The budget proposal (p8/18) to aid the removal of acute services from Daisy Hill (Government designated acute Hospital) to a ‘community facility’ in one LGD (Newry &amp; Mourne) while providing extra bed capacity in another, (Craigavon LGD) without carrying out a full and proper Equality Impact Assessment and Public Consultation on the arrangements is </w:t>
      </w:r>
      <w:r w:rsidRPr="00011EBA">
        <w:rPr>
          <w:rFonts w:asciiTheme="minorHAnsi" w:hAnsiTheme="minorHAnsi" w:cstheme="minorHAnsi"/>
          <w:sz w:val="20"/>
          <w:szCs w:val="20"/>
          <w:u w:val="single"/>
        </w:rPr>
        <w:t>not</w:t>
      </w:r>
      <w:r w:rsidRPr="00011EBA">
        <w:rPr>
          <w:rFonts w:asciiTheme="minorHAnsi" w:hAnsiTheme="minorHAnsi" w:cstheme="minorHAnsi"/>
          <w:sz w:val="20"/>
          <w:szCs w:val="20"/>
        </w:rPr>
        <w:t xml:space="preserve"> equal treatment.  The demographic make-up of these Local Government Districts in the Census 2011 must be examined by the Department and compared –to ensure equality is safeguarded. (Especially with regard to religious belief, political opinion, </w:t>
      </w:r>
      <w:r w:rsidR="000E7134" w:rsidRPr="00011EBA">
        <w:rPr>
          <w:rFonts w:asciiTheme="minorHAnsi" w:hAnsiTheme="minorHAnsi" w:cstheme="minorHAnsi"/>
          <w:sz w:val="20"/>
          <w:szCs w:val="20"/>
        </w:rPr>
        <w:t xml:space="preserve">and </w:t>
      </w:r>
      <w:r w:rsidRPr="00011EBA">
        <w:rPr>
          <w:rFonts w:asciiTheme="minorHAnsi" w:hAnsiTheme="minorHAnsi" w:cstheme="minorHAnsi"/>
          <w:sz w:val="20"/>
          <w:szCs w:val="20"/>
        </w:rPr>
        <w:t>racial group which includes their colour, nationality, ethnicity or citizenship. DOH Budget proposals must ensure that all populations have FAIR ACCESS to the resources that exist</w:t>
      </w:r>
      <w:r w:rsidR="000E7134" w:rsidRPr="00011EBA">
        <w:rPr>
          <w:rFonts w:asciiTheme="minorHAnsi" w:hAnsiTheme="minorHAnsi" w:cstheme="minorHAnsi"/>
          <w:sz w:val="20"/>
          <w:szCs w:val="20"/>
        </w:rPr>
        <w:t xml:space="preserve"> especially with regard to children and disabled persons.</w:t>
      </w:r>
    </w:p>
    <w:p w:rsidR="00C31F63" w:rsidRDefault="001C3EA0" w:rsidP="001C3EA0">
      <w:pPr>
        <w:rPr>
          <w:sz w:val="20"/>
          <w:szCs w:val="20"/>
        </w:rPr>
      </w:pPr>
      <w:r w:rsidRPr="00011EBA">
        <w:rPr>
          <w:sz w:val="20"/>
          <w:szCs w:val="20"/>
        </w:rPr>
        <w:t xml:space="preserve">DEPRIVATION: </w:t>
      </w:r>
    </w:p>
    <w:p w:rsidR="001C3EA0" w:rsidRPr="00011EBA" w:rsidRDefault="001C3EA0" w:rsidP="001C3EA0">
      <w:pPr>
        <w:rPr>
          <w:sz w:val="20"/>
          <w:szCs w:val="20"/>
        </w:rPr>
      </w:pPr>
      <w:r w:rsidRPr="00011EBA">
        <w:rPr>
          <w:sz w:val="20"/>
          <w:szCs w:val="20"/>
        </w:rPr>
        <w:t>This EQIA fails to address the impact of this budget on deprived areas in NI.  Newry &amp; Mourne has many areas of Deprivation and the implication of these Budget proposals (facilitating removal of acute hospital services from Daisy Hill Acute Hospital to a Newry Community Treatment Centre) will cause adverse negative impact exacerbating the problems in accessing specialist inpatient hospital services ( including in  an emergency) faced by people living  in these deprived areas.</w:t>
      </w:r>
    </w:p>
    <w:p w:rsidR="00011EBA" w:rsidRPr="00011EBA" w:rsidRDefault="00011EBA" w:rsidP="00011EBA">
      <w:pPr>
        <w:rPr>
          <w:sz w:val="20"/>
          <w:szCs w:val="20"/>
        </w:rPr>
      </w:pPr>
      <w:r w:rsidRPr="00011EBA">
        <w:rPr>
          <w:sz w:val="20"/>
          <w:szCs w:val="20"/>
        </w:rPr>
        <w:t>The Northern Ireland Multiple Deprivation Measure 2017 states there are Seven Domains of Deprivation: Income; Employment; Health and Disability; Education, Skills and Training; Access to Services; Living Environment and Crime and Disorder</w:t>
      </w:r>
      <w:r w:rsidR="00C31F63">
        <w:rPr>
          <w:sz w:val="20"/>
          <w:szCs w:val="20"/>
        </w:rPr>
        <w:t xml:space="preserve">. </w:t>
      </w:r>
      <w:r w:rsidRPr="00011EBA">
        <w:rPr>
          <w:sz w:val="20"/>
          <w:szCs w:val="20"/>
        </w:rPr>
        <w:t xml:space="preserve">In the </w:t>
      </w:r>
      <w:r w:rsidR="00C31F63" w:rsidRPr="00011EBA">
        <w:rPr>
          <w:sz w:val="20"/>
          <w:szCs w:val="20"/>
        </w:rPr>
        <w:t xml:space="preserve">income domain rank </w:t>
      </w:r>
      <w:r w:rsidRPr="00011EBA">
        <w:rPr>
          <w:sz w:val="20"/>
          <w:szCs w:val="20"/>
        </w:rPr>
        <w:t xml:space="preserve">(where 1 is most deprived) Newry and Mourne LGD (in the operational area of the Southern Trust)  has 14 Super Output Areas (SOAs) ranking  MOST DEPRIVED.  </w:t>
      </w:r>
    </w:p>
    <w:p w:rsidR="00011EBA" w:rsidRPr="00011EBA" w:rsidRDefault="00011EBA" w:rsidP="00011EBA">
      <w:pPr>
        <w:rPr>
          <w:sz w:val="20"/>
          <w:szCs w:val="20"/>
        </w:rPr>
      </w:pPr>
      <w:r w:rsidRPr="00011EBA">
        <w:rPr>
          <w:sz w:val="20"/>
          <w:szCs w:val="20"/>
        </w:rPr>
        <w:t xml:space="preserve">The first three most INCOME Deprived areas out of all of the 890 SOAs  are in Newry and Mourne.   </w:t>
      </w:r>
    </w:p>
    <w:p w:rsidR="00011EBA" w:rsidRPr="00011EBA" w:rsidRDefault="00011EBA" w:rsidP="00011EBA">
      <w:pPr>
        <w:rPr>
          <w:sz w:val="20"/>
          <w:szCs w:val="20"/>
        </w:rPr>
      </w:pPr>
      <w:r w:rsidRPr="00011EBA">
        <w:rPr>
          <w:sz w:val="20"/>
          <w:szCs w:val="20"/>
        </w:rPr>
        <w:lastRenderedPageBreak/>
        <w:t>These are closely followed by 11 more Newry &amp; Mourne SOAs ranking  5</w:t>
      </w:r>
      <w:r w:rsidRPr="00011EBA">
        <w:rPr>
          <w:sz w:val="20"/>
          <w:szCs w:val="20"/>
          <w:vertAlign w:val="superscript"/>
        </w:rPr>
        <w:t>th</w:t>
      </w:r>
      <w:r w:rsidRPr="00011EBA">
        <w:rPr>
          <w:sz w:val="20"/>
          <w:szCs w:val="20"/>
        </w:rPr>
        <w:t xml:space="preserve">  13</w:t>
      </w:r>
      <w:r w:rsidRPr="00011EBA">
        <w:rPr>
          <w:sz w:val="20"/>
          <w:szCs w:val="20"/>
          <w:vertAlign w:val="superscript"/>
        </w:rPr>
        <w:t>th</w:t>
      </w:r>
      <w:r w:rsidRPr="00011EBA">
        <w:rPr>
          <w:sz w:val="20"/>
          <w:szCs w:val="20"/>
        </w:rPr>
        <w:t xml:space="preserve"> 36</w:t>
      </w:r>
      <w:r w:rsidRPr="00011EBA">
        <w:rPr>
          <w:sz w:val="20"/>
          <w:szCs w:val="20"/>
          <w:vertAlign w:val="superscript"/>
        </w:rPr>
        <w:t>th</w:t>
      </w:r>
      <w:r w:rsidRPr="00011EBA">
        <w:rPr>
          <w:sz w:val="20"/>
          <w:szCs w:val="20"/>
        </w:rPr>
        <w:t xml:space="preserve">  52</w:t>
      </w:r>
      <w:r w:rsidRPr="00011EBA">
        <w:rPr>
          <w:sz w:val="20"/>
          <w:szCs w:val="20"/>
          <w:vertAlign w:val="superscript"/>
        </w:rPr>
        <w:t>nd</w:t>
      </w:r>
      <w:r w:rsidRPr="00011EBA">
        <w:rPr>
          <w:sz w:val="20"/>
          <w:szCs w:val="20"/>
        </w:rPr>
        <w:t xml:space="preserve">  66</w:t>
      </w:r>
      <w:r w:rsidRPr="00011EBA">
        <w:rPr>
          <w:sz w:val="20"/>
          <w:szCs w:val="20"/>
          <w:vertAlign w:val="superscript"/>
        </w:rPr>
        <w:t>th</w:t>
      </w:r>
      <w:r w:rsidRPr="00011EBA">
        <w:rPr>
          <w:sz w:val="20"/>
          <w:szCs w:val="20"/>
        </w:rPr>
        <w:t xml:space="preserve">  77</w:t>
      </w:r>
      <w:r w:rsidRPr="00011EBA">
        <w:rPr>
          <w:sz w:val="20"/>
          <w:szCs w:val="20"/>
          <w:vertAlign w:val="superscript"/>
        </w:rPr>
        <w:t>th</w:t>
      </w:r>
      <w:r w:rsidRPr="00011EBA">
        <w:rPr>
          <w:sz w:val="20"/>
          <w:szCs w:val="20"/>
        </w:rPr>
        <w:t xml:space="preserve"> 78</w:t>
      </w:r>
      <w:r w:rsidRPr="00011EBA">
        <w:rPr>
          <w:sz w:val="20"/>
          <w:szCs w:val="20"/>
          <w:vertAlign w:val="superscript"/>
        </w:rPr>
        <w:t>th</w:t>
      </w:r>
      <w:r w:rsidRPr="00011EBA">
        <w:rPr>
          <w:sz w:val="20"/>
          <w:szCs w:val="20"/>
        </w:rPr>
        <w:t xml:space="preserve"> 82</w:t>
      </w:r>
      <w:r w:rsidRPr="00011EBA">
        <w:rPr>
          <w:sz w:val="20"/>
          <w:szCs w:val="20"/>
          <w:vertAlign w:val="superscript"/>
        </w:rPr>
        <w:t>nd</w:t>
      </w:r>
      <w:r w:rsidRPr="00011EBA">
        <w:rPr>
          <w:sz w:val="20"/>
          <w:szCs w:val="20"/>
        </w:rPr>
        <w:t xml:space="preserve"> 87</w:t>
      </w:r>
      <w:r w:rsidRPr="00011EBA">
        <w:rPr>
          <w:sz w:val="20"/>
          <w:szCs w:val="20"/>
          <w:vertAlign w:val="superscript"/>
        </w:rPr>
        <w:t>th</w:t>
      </w:r>
      <w:r w:rsidRPr="00011EBA">
        <w:rPr>
          <w:sz w:val="20"/>
          <w:szCs w:val="20"/>
        </w:rPr>
        <w:t xml:space="preserve"> 91</w:t>
      </w:r>
      <w:r w:rsidRPr="00011EBA">
        <w:rPr>
          <w:sz w:val="20"/>
          <w:szCs w:val="20"/>
          <w:vertAlign w:val="superscript"/>
        </w:rPr>
        <w:t>st</w:t>
      </w:r>
      <w:r w:rsidRPr="00011EBA">
        <w:rPr>
          <w:sz w:val="20"/>
          <w:szCs w:val="20"/>
        </w:rPr>
        <w:t xml:space="preserve"> and 98</w:t>
      </w:r>
      <w:r w:rsidRPr="00011EBA">
        <w:rPr>
          <w:sz w:val="20"/>
          <w:szCs w:val="20"/>
          <w:vertAlign w:val="superscript"/>
        </w:rPr>
        <w:t>th</w:t>
      </w:r>
      <w:r w:rsidRPr="00011EBA">
        <w:rPr>
          <w:sz w:val="20"/>
          <w:szCs w:val="20"/>
        </w:rPr>
        <w:t xml:space="preserve"> in the top 100 Income Deprived  Super Output Areas (SOAs) in THE WHOLE GEOGRAPHIC AREA OF NI.    </w:t>
      </w:r>
    </w:p>
    <w:p w:rsidR="00011EBA" w:rsidRPr="00011EBA" w:rsidRDefault="00011EBA" w:rsidP="00011EBA">
      <w:pPr>
        <w:rPr>
          <w:sz w:val="20"/>
          <w:szCs w:val="20"/>
        </w:rPr>
      </w:pPr>
      <w:r w:rsidRPr="00011EBA">
        <w:rPr>
          <w:sz w:val="20"/>
          <w:szCs w:val="20"/>
        </w:rPr>
        <w:t>Other tables shown on NISRA Deprivation 2017 Tables for the former 26 LGDs in the operational areas of the Health an</w:t>
      </w:r>
      <w:r w:rsidR="00571D7C">
        <w:rPr>
          <w:sz w:val="20"/>
          <w:szCs w:val="20"/>
        </w:rPr>
        <w:t xml:space="preserve">d Social Services Trusts shows </w:t>
      </w:r>
      <w:r w:rsidRPr="00011EBA">
        <w:rPr>
          <w:sz w:val="20"/>
          <w:szCs w:val="20"/>
        </w:rPr>
        <w:t>Newry &amp; Mourne Ranking  first in all of NI at 16.8% for the proportion of the NI population living in households whose equivalent income is below 60% of the NI average. The lowest is Castlereagh LGD in the Belfast Trust with 8.5%</w:t>
      </w:r>
    </w:p>
    <w:p w:rsidR="00011EBA" w:rsidRPr="00011EBA" w:rsidRDefault="00011EBA" w:rsidP="001C3EA0">
      <w:pPr>
        <w:rPr>
          <w:sz w:val="20"/>
          <w:szCs w:val="20"/>
        </w:rPr>
      </w:pPr>
    </w:p>
    <w:p w:rsidR="001C3EA0" w:rsidRPr="00011EBA" w:rsidRDefault="001C3EA0" w:rsidP="001C3EA0">
      <w:pPr>
        <w:tabs>
          <w:tab w:val="left" w:pos="993"/>
        </w:tabs>
        <w:rPr>
          <w:rFonts w:cstheme="minorHAnsi"/>
          <w:b/>
          <w:color w:val="002060"/>
          <w:sz w:val="20"/>
          <w:szCs w:val="20"/>
        </w:rPr>
      </w:pPr>
      <w:r w:rsidRPr="00011EBA">
        <w:rPr>
          <w:rFonts w:cstheme="minorHAnsi"/>
          <w:b/>
          <w:color w:val="002060"/>
          <w:sz w:val="20"/>
          <w:szCs w:val="20"/>
        </w:rPr>
        <w:t>Please state what action you think could be taken to reduce or eliminate any adverse impacts in allocation of the Department’s draft budget? / we are seeking your comments on the equality implications/ potential equality implications.</w:t>
      </w: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Fonts w:cstheme="minorHAnsi"/>
          <w:sz w:val="20"/>
          <w:szCs w:val="20"/>
        </w:rPr>
        <w:t>ACTION: (TO REDUCE OR ELIMINATE ANY ADVERSE IMPACTS).</w:t>
      </w:r>
      <w:r w:rsidRPr="00011EBA">
        <w:rPr>
          <w:rFonts w:cstheme="minorHAnsi"/>
          <w:sz w:val="20"/>
          <w:szCs w:val="20"/>
        </w:rPr>
        <w:br/>
      </w: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Fonts w:cstheme="minorHAnsi"/>
          <w:sz w:val="20"/>
          <w:szCs w:val="20"/>
        </w:rPr>
        <w:t>Newry &amp; Mourne has always been the largest LGD population in the Southern Trust, (as proven by NISRA statistics). This population have no other way to receive timely access to specialist inpatient healthcare (including in an emergency) other than in Daisy Hill Acute Hospital, Newry. But hand in hand with commencement of Newry Community Treatment Centre as proposed by this budget means further removal of acute services* from Daisy Hill Hospital (*Southern Trust Delivery Plan 2018/19). This will cause further negative adverse impact on this community.</w:t>
      </w:r>
    </w:p>
    <w:p w:rsidR="001C3EA0" w:rsidRPr="00011EBA" w:rsidRDefault="001C3EA0" w:rsidP="001C3EA0">
      <w:pPr>
        <w:tabs>
          <w:tab w:val="left" w:pos="993"/>
        </w:tabs>
        <w:autoSpaceDE w:val="0"/>
        <w:autoSpaceDN w:val="0"/>
        <w:adjustRightInd w:val="0"/>
        <w:spacing w:after="0"/>
        <w:rPr>
          <w:rFonts w:cstheme="minorHAnsi"/>
          <w:sz w:val="20"/>
          <w:szCs w:val="20"/>
        </w:rPr>
      </w:pP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Fonts w:cstheme="minorHAnsi"/>
          <w:sz w:val="20"/>
          <w:szCs w:val="20"/>
        </w:rPr>
        <w:t xml:space="preserve">An ACTION that could be taken to reduce/eliminate adverse impact on the Newry &amp; Mourne population </w:t>
      </w:r>
      <w:r w:rsidR="00381EAE" w:rsidRPr="00011EBA">
        <w:rPr>
          <w:rFonts w:cstheme="minorHAnsi"/>
          <w:sz w:val="20"/>
          <w:szCs w:val="20"/>
        </w:rPr>
        <w:t xml:space="preserve">caused by these </w:t>
      </w:r>
      <w:r w:rsidRPr="00011EBA">
        <w:rPr>
          <w:rFonts w:cstheme="minorHAnsi"/>
          <w:sz w:val="20"/>
          <w:szCs w:val="20"/>
        </w:rPr>
        <w:t xml:space="preserve">budgets proposals is: Redirect proposed ‘critical capital funding’ for (1) Newry Community Treatment Centre and (2) additional bed capacity at Craigavon instead towards the creation of additional inpatient bed capacity in Daisy Hill Hospital to begin the creation a new major specialist acute hospital (with permanent major diagnostics) in Newry City. </w:t>
      </w:r>
    </w:p>
    <w:p w:rsidR="001C3EA0" w:rsidRPr="00011EBA" w:rsidRDefault="001C3EA0" w:rsidP="001C3EA0">
      <w:pPr>
        <w:tabs>
          <w:tab w:val="left" w:pos="993"/>
        </w:tabs>
        <w:autoSpaceDE w:val="0"/>
        <w:autoSpaceDN w:val="0"/>
        <w:adjustRightInd w:val="0"/>
        <w:spacing w:after="0"/>
        <w:rPr>
          <w:rFonts w:cstheme="minorHAnsi"/>
          <w:sz w:val="20"/>
          <w:szCs w:val="20"/>
        </w:rPr>
      </w:pP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Fonts w:cstheme="minorHAnsi"/>
          <w:sz w:val="20"/>
          <w:szCs w:val="20"/>
        </w:rPr>
        <w:t xml:space="preserve">This redirection of funding will not have any negative impact on the population of Craigavon as they are (1) only a 20 minute motorway journey from several major acute hospitals in Belfast and also have timely access to: - </w:t>
      </w:r>
      <w:r w:rsidRPr="00011EBA">
        <w:rPr>
          <w:rFonts w:cstheme="minorHAnsi"/>
          <w:sz w:val="20"/>
          <w:szCs w:val="20"/>
        </w:rPr>
        <w:br/>
        <w:t xml:space="preserve">(2) A well funded major acute hospital in Craigavon. (3) Two support (non acute) hospitals (a) South Tyrone Hospital and (b) Lurgan Hospital two miles away from Craigavon  and (4) A HSC funded Community Treatment Centre (two miles away) in Portadown.  </w:t>
      </w:r>
    </w:p>
    <w:p w:rsidR="001C3EA0" w:rsidRPr="00011EBA" w:rsidRDefault="001C3EA0" w:rsidP="001C3EA0">
      <w:pPr>
        <w:pStyle w:val="NormalWeb"/>
        <w:tabs>
          <w:tab w:val="left" w:pos="993"/>
        </w:tabs>
        <w:spacing w:line="276" w:lineRule="auto"/>
        <w:rPr>
          <w:rFonts w:asciiTheme="minorHAnsi" w:hAnsiTheme="minorHAnsi" w:cstheme="minorHAnsi"/>
          <w:b/>
          <w:sz w:val="20"/>
          <w:szCs w:val="20"/>
          <w:u w:val="single"/>
          <w:shd w:val="clear" w:color="auto" w:fill="FFFFFF"/>
        </w:rPr>
      </w:pPr>
      <w:r w:rsidRPr="00011EBA">
        <w:rPr>
          <w:rStyle w:val="label-above"/>
          <w:rFonts w:asciiTheme="minorHAnsi" w:hAnsiTheme="minorHAnsi" w:cstheme="minorHAnsi"/>
          <w:b/>
          <w:sz w:val="20"/>
          <w:szCs w:val="20"/>
          <w:u w:val="single"/>
          <w:shd w:val="clear" w:color="auto" w:fill="FFFFFF"/>
        </w:rPr>
        <w:t xml:space="preserve">ANSWER 4. </w:t>
      </w:r>
      <w:r w:rsidRPr="00011EBA">
        <w:rPr>
          <w:rFonts w:asciiTheme="minorHAnsi" w:hAnsiTheme="minorHAnsi" w:cstheme="minorHAnsi"/>
          <w:b/>
          <w:sz w:val="20"/>
          <w:szCs w:val="20"/>
          <w:u w:val="single"/>
        </w:rPr>
        <w:t>C</w:t>
      </w:r>
    </w:p>
    <w:p w:rsidR="001C3EA0" w:rsidRPr="00011EBA" w:rsidRDefault="001C3EA0" w:rsidP="001C3EA0">
      <w:pPr>
        <w:pStyle w:val="NormalWeb"/>
        <w:tabs>
          <w:tab w:val="left" w:pos="993"/>
        </w:tabs>
        <w:spacing w:line="276" w:lineRule="auto"/>
        <w:rPr>
          <w:rFonts w:asciiTheme="minorHAnsi" w:hAnsiTheme="minorHAnsi" w:cstheme="minorHAnsi"/>
          <w:b/>
          <w:color w:val="002060"/>
          <w:sz w:val="20"/>
          <w:szCs w:val="20"/>
        </w:rPr>
      </w:pPr>
      <w:r w:rsidRPr="00011EBA">
        <w:rPr>
          <w:rFonts w:asciiTheme="minorHAnsi" w:hAnsiTheme="minorHAnsi" w:cstheme="minorHAnsi"/>
          <w:b/>
          <w:color w:val="002060"/>
          <w:sz w:val="20"/>
          <w:szCs w:val="20"/>
        </w:rPr>
        <w:t xml:space="preserve">4c  Are there any other comments you would like to make in regard to this EQIA or the consultation process generally? </w:t>
      </w:r>
    </w:p>
    <w:p w:rsidR="001C3EA0" w:rsidRPr="00011EBA" w:rsidRDefault="001C3EA0" w:rsidP="001C3EA0">
      <w:pPr>
        <w:pStyle w:val="NormalWeb"/>
        <w:tabs>
          <w:tab w:val="left" w:pos="993"/>
        </w:tabs>
        <w:spacing w:line="276" w:lineRule="auto"/>
        <w:rPr>
          <w:rFonts w:asciiTheme="minorHAnsi" w:hAnsiTheme="minorHAnsi" w:cstheme="minorHAnsi"/>
          <w:sz w:val="20"/>
          <w:szCs w:val="20"/>
        </w:rPr>
      </w:pPr>
      <w:r w:rsidRPr="00011EBA">
        <w:rPr>
          <w:rFonts w:asciiTheme="minorHAnsi" w:hAnsiTheme="minorHAnsi" w:cstheme="minorHAnsi"/>
          <w:sz w:val="20"/>
          <w:szCs w:val="20"/>
        </w:rPr>
        <w:t xml:space="preserve">The Budget for Health Commissioning Funding is supposed to be population–centred but these proposals for spending in this budget are not population based. </w:t>
      </w: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Fonts w:cstheme="minorHAnsi"/>
          <w:b/>
          <w:sz w:val="20"/>
          <w:szCs w:val="20"/>
          <w:u w:val="single"/>
        </w:rPr>
        <w:t>&gt; INCORRECT POPULATION STATISTICS IN TYC &amp; NEWRY COMMUNITY TREATMENT CENTRE</w:t>
      </w:r>
      <w:r w:rsidRPr="00011EBA">
        <w:rPr>
          <w:rFonts w:cstheme="minorHAnsi"/>
          <w:b/>
          <w:sz w:val="20"/>
          <w:szCs w:val="20"/>
          <w:u w:val="single"/>
        </w:rPr>
        <w:br/>
      </w:r>
      <w:r w:rsidRPr="00011EBA">
        <w:rPr>
          <w:rFonts w:cstheme="minorHAnsi"/>
          <w:sz w:val="20"/>
          <w:szCs w:val="20"/>
        </w:rPr>
        <w:t xml:space="preserve">The plan for a Newry Community Treatment Centre (CTCC) was developed under Transforming Your Care (TYC) and the Newry &amp; Mourne LGD population was inaccurately represented in Southern Trust/ Southern Local Commissioning Group (SLCG) TYC population plans as the smallest LGD population in the Southern Trust instead of the largest (population sizes confirmed by NISRA). As inaccurate statistics were used these population plans by the Southern Trust/ SLCG , this TYC plan for a Community Treatment Centre in Newry </w:t>
      </w:r>
      <w:r w:rsidRPr="00011EBA">
        <w:rPr>
          <w:rFonts w:cstheme="minorHAnsi"/>
          <w:sz w:val="20"/>
          <w:szCs w:val="20"/>
        </w:rPr>
        <w:lastRenderedPageBreak/>
        <w:t xml:space="preserve">should not go forward as the statistical data is incorrect. The reason that Craigavon Hospital is getting extra bed capacity is to make up for the reduction in beds in Daisy Hill Hospital – this is not equal treatment and should not go ahead. </w:t>
      </w:r>
    </w:p>
    <w:p w:rsidR="001C3EA0" w:rsidRPr="00011EBA" w:rsidRDefault="001C3EA0" w:rsidP="001C3EA0">
      <w:pPr>
        <w:tabs>
          <w:tab w:val="left" w:pos="993"/>
        </w:tabs>
        <w:autoSpaceDE w:val="0"/>
        <w:autoSpaceDN w:val="0"/>
        <w:adjustRightInd w:val="0"/>
        <w:spacing w:after="0"/>
        <w:rPr>
          <w:rFonts w:cstheme="minorHAnsi"/>
          <w:sz w:val="20"/>
          <w:szCs w:val="20"/>
        </w:rPr>
      </w:pPr>
    </w:p>
    <w:p w:rsidR="001C3EA0" w:rsidRPr="00011EBA" w:rsidRDefault="001C3EA0" w:rsidP="001C3EA0">
      <w:pPr>
        <w:tabs>
          <w:tab w:val="left" w:pos="993"/>
        </w:tabs>
        <w:autoSpaceDE w:val="0"/>
        <w:autoSpaceDN w:val="0"/>
        <w:adjustRightInd w:val="0"/>
        <w:spacing w:after="0"/>
        <w:rPr>
          <w:rFonts w:cstheme="minorHAnsi"/>
          <w:color w:val="00B050"/>
          <w:sz w:val="20"/>
          <w:szCs w:val="20"/>
        </w:rPr>
      </w:pPr>
      <w:r w:rsidRPr="00011EBA">
        <w:rPr>
          <w:rFonts w:cstheme="minorHAnsi"/>
          <w:sz w:val="20"/>
          <w:szCs w:val="20"/>
        </w:rPr>
        <w:t>Because of Southern Trust population errors in TYC, the people of Newry &amp; Mourne need to know what population figures are being used to inform Nuffield Trust Southern Trust bed modelling work to increase Craigavon Hospital bed capacity as part of this Budget EQIA Consultation</w:t>
      </w:r>
      <w:r w:rsidRPr="00011EBA">
        <w:rPr>
          <w:rFonts w:cstheme="minorHAnsi"/>
          <w:color w:val="00B050"/>
          <w:sz w:val="20"/>
          <w:szCs w:val="20"/>
        </w:rPr>
        <w:t xml:space="preserve">.   </w:t>
      </w:r>
    </w:p>
    <w:p w:rsidR="001C3EA0" w:rsidRPr="00011EBA" w:rsidRDefault="001C3EA0" w:rsidP="001C3EA0">
      <w:pPr>
        <w:tabs>
          <w:tab w:val="left" w:pos="993"/>
        </w:tabs>
        <w:autoSpaceDE w:val="0"/>
        <w:autoSpaceDN w:val="0"/>
        <w:adjustRightInd w:val="0"/>
        <w:spacing w:after="0"/>
        <w:rPr>
          <w:sz w:val="20"/>
          <w:szCs w:val="20"/>
        </w:rPr>
      </w:pPr>
    </w:p>
    <w:p w:rsidR="001C3EA0" w:rsidRPr="00011EBA" w:rsidRDefault="001C3EA0" w:rsidP="001C3EA0">
      <w:pPr>
        <w:tabs>
          <w:tab w:val="left" w:pos="993"/>
        </w:tabs>
        <w:autoSpaceDE w:val="0"/>
        <w:autoSpaceDN w:val="0"/>
        <w:adjustRightInd w:val="0"/>
        <w:spacing w:after="0"/>
        <w:rPr>
          <w:rFonts w:cstheme="minorHAnsi"/>
          <w:b/>
          <w:sz w:val="20"/>
          <w:szCs w:val="20"/>
        </w:rPr>
      </w:pPr>
      <w:r w:rsidRPr="00011EBA">
        <w:rPr>
          <w:rFonts w:cstheme="minorHAnsi"/>
          <w:b/>
          <w:sz w:val="20"/>
          <w:szCs w:val="20"/>
        </w:rPr>
        <w:t xml:space="preserve">Suggested Alternative Use of Budget in Southern Trust to safeguard Equality </w:t>
      </w:r>
    </w:p>
    <w:p w:rsidR="001C3EA0" w:rsidRPr="00011EBA" w:rsidRDefault="001C3EA0" w:rsidP="001C3EA0">
      <w:pPr>
        <w:tabs>
          <w:tab w:val="left" w:pos="993"/>
        </w:tabs>
        <w:autoSpaceDE w:val="0"/>
        <w:autoSpaceDN w:val="0"/>
        <w:adjustRightInd w:val="0"/>
        <w:spacing w:after="0"/>
        <w:rPr>
          <w:rFonts w:cstheme="minorHAnsi"/>
          <w:sz w:val="20"/>
          <w:szCs w:val="20"/>
        </w:rPr>
      </w:pPr>
      <w:r w:rsidRPr="00011EBA">
        <w:rPr>
          <w:rFonts w:eastAsia="Times New Roman" w:cstheme="minorHAnsi"/>
          <w:sz w:val="20"/>
          <w:szCs w:val="20"/>
          <w:lang w:eastAsia="en-GB"/>
        </w:rPr>
        <w:t>&gt;1&gt;Based on accurate population plans –as Newry &amp; Mourne LGD has always had the highest Locality/LGD population in the Southern Trust, business plans should instead have been submitted by the Southern Trust for the major construction of a New Specialist Acute Hospital development in Newry – instead of just proposals to build a privately funded Newry Community Treatment Centre</w:t>
      </w:r>
      <w:r w:rsidRPr="00011EBA">
        <w:rPr>
          <w:rFonts w:eastAsia="Times New Roman" w:cstheme="minorHAnsi"/>
          <w:b/>
          <w:sz w:val="20"/>
          <w:szCs w:val="20"/>
          <w:lang w:eastAsia="en-GB"/>
        </w:rPr>
        <w:t>.</w:t>
      </w:r>
    </w:p>
    <w:p w:rsidR="001C3EA0" w:rsidRPr="00011EBA" w:rsidRDefault="001C3EA0" w:rsidP="001C3EA0">
      <w:pPr>
        <w:tabs>
          <w:tab w:val="left" w:pos="993"/>
        </w:tabs>
        <w:autoSpaceDE w:val="0"/>
        <w:autoSpaceDN w:val="0"/>
        <w:adjustRightInd w:val="0"/>
        <w:spacing w:after="0"/>
        <w:rPr>
          <w:rFonts w:cstheme="minorHAnsi"/>
          <w:sz w:val="20"/>
          <w:szCs w:val="20"/>
        </w:rPr>
      </w:pPr>
    </w:p>
    <w:p w:rsidR="001C3EA0" w:rsidRDefault="001C3EA0" w:rsidP="001C3EA0">
      <w:pPr>
        <w:tabs>
          <w:tab w:val="left" w:pos="993"/>
        </w:tabs>
        <w:autoSpaceDE w:val="0"/>
        <w:autoSpaceDN w:val="0"/>
        <w:adjustRightInd w:val="0"/>
        <w:spacing w:after="0"/>
        <w:rPr>
          <w:rFonts w:cstheme="minorHAnsi"/>
          <w:sz w:val="20"/>
          <w:szCs w:val="20"/>
        </w:rPr>
      </w:pPr>
      <w:r w:rsidRPr="00011EBA">
        <w:rPr>
          <w:rFonts w:cstheme="minorHAnsi"/>
          <w:sz w:val="20"/>
          <w:szCs w:val="20"/>
        </w:rPr>
        <w:t>Newry &amp; District has the second highest number of Patients on GP Registers in NI (c161,000) (NISRA) after only Derry The lack of provision of timely access to specialist hospital inpatient healthcare in this area can be ignored no longer.</w:t>
      </w:r>
    </w:p>
    <w:p w:rsidR="00DA27C0" w:rsidRPr="00011EBA" w:rsidRDefault="00DA27C0" w:rsidP="001C3EA0">
      <w:pPr>
        <w:tabs>
          <w:tab w:val="left" w:pos="993"/>
        </w:tabs>
        <w:autoSpaceDE w:val="0"/>
        <w:autoSpaceDN w:val="0"/>
        <w:adjustRightInd w:val="0"/>
        <w:spacing w:after="0"/>
        <w:rPr>
          <w:sz w:val="20"/>
          <w:szCs w:val="20"/>
        </w:rPr>
      </w:pPr>
    </w:p>
    <w:p w:rsidR="00DA27C0" w:rsidRPr="00011EBA" w:rsidRDefault="00DA27C0" w:rsidP="001C3EA0">
      <w:pPr>
        <w:tabs>
          <w:tab w:val="left" w:pos="993"/>
        </w:tabs>
        <w:autoSpaceDE w:val="0"/>
        <w:autoSpaceDN w:val="0"/>
        <w:adjustRightInd w:val="0"/>
        <w:spacing w:after="0"/>
        <w:rPr>
          <w:sz w:val="20"/>
          <w:szCs w:val="20"/>
        </w:rPr>
      </w:pPr>
      <w:r w:rsidRPr="00011EBA">
        <w:rPr>
          <w:sz w:val="20"/>
          <w:szCs w:val="20"/>
        </w:rPr>
        <w:t>See also Responses from:</w:t>
      </w:r>
    </w:p>
    <w:p w:rsidR="00126A5D" w:rsidRPr="002C646A" w:rsidRDefault="00DA27C0" w:rsidP="001C3EA0">
      <w:pPr>
        <w:tabs>
          <w:tab w:val="left" w:pos="993"/>
        </w:tabs>
        <w:autoSpaceDE w:val="0"/>
        <w:autoSpaceDN w:val="0"/>
        <w:adjustRightInd w:val="0"/>
        <w:spacing w:after="0"/>
        <w:rPr>
          <w:b/>
          <w:sz w:val="20"/>
          <w:szCs w:val="20"/>
        </w:rPr>
      </w:pPr>
      <w:r w:rsidRPr="002C646A">
        <w:rPr>
          <w:b/>
          <w:sz w:val="20"/>
          <w:szCs w:val="20"/>
        </w:rPr>
        <w:t>The Equality Commission for NI</w:t>
      </w:r>
    </w:p>
    <w:p w:rsidR="000F53E9" w:rsidRDefault="000F53E9" w:rsidP="001C3EA0">
      <w:pPr>
        <w:tabs>
          <w:tab w:val="left" w:pos="993"/>
        </w:tabs>
        <w:autoSpaceDE w:val="0"/>
        <w:autoSpaceDN w:val="0"/>
        <w:adjustRightInd w:val="0"/>
        <w:spacing w:after="0"/>
        <w:rPr>
          <w:sz w:val="20"/>
          <w:szCs w:val="20"/>
        </w:rPr>
      </w:pPr>
      <w:r w:rsidRPr="000F53E9">
        <w:rPr>
          <w:sz w:val="20"/>
          <w:szCs w:val="20"/>
        </w:rPr>
        <w:t>Response by the Equality Commission for Northern Ireland to the consultation by the Department of Health on its Budget 2023- 2024 Equality Impact Assessment</w:t>
      </w:r>
    </w:p>
    <w:p w:rsidR="00F319AF" w:rsidRDefault="00F319AF" w:rsidP="001C3EA0">
      <w:pPr>
        <w:tabs>
          <w:tab w:val="left" w:pos="993"/>
        </w:tabs>
        <w:autoSpaceDE w:val="0"/>
        <w:autoSpaceDN w:val="0"/>
        <w:adjustRightInd w:val="0"/>
        <w:spacing w:after="0"/>
        <w:rPr>
          <w:sz w:val="20"/>
          <w:szCs w:val="20"/>
        </w:rPr>
      </w:pPr>
    </w:p>
    <w:p w:rsidR="00F319AF" w:rsidRDefault="00F319AF" w:rsidP="001C3EA0">
      <w:pPr>
        <w:tabs>
          <w:tab w:val="left" w:pos="993"/>
        </w:tabs>
        <w:autoSpaceDE w:val="0"/>
        <w:autoSpaceDN w:val="0"/>
        <w:adjustRightInd w:val="0"/>
        <w:spacing w:after="0"/>
        <w:rPr>
          <w:sz w:val="20"/>
          <w:szCs w:val="20"/>
        </w:rPr>
      </w:pPr>
      <w:r w:rsidRPr="00F319AF">
        <w:rPr>
          <w:sz w:val="20"/>
          <w:szCs w:val="20"/>
        </w:rPr>
        <w:t>https://www.equalityni.org/ECNI/media/ECNI/Consultation%20Responses/2023/DoH-Budget2023-24EQIA-ECNIresponse.pdf</w:t>
      </w:r>
    </w:p>
    <w:p w:rsidR="00F319AF" w:rsidRDefault="00171A32" w:rsidP="001C3EA0">
      <w:pPr>
        <w:tabs>
          <w:tab w:val="left" w:pos="993"/>
        </w:tabs>
        <w:autoSpaceDE w:val="0"/>
        <w:autoSpaceDN w:val="0"/>
        <w:adjustRightInd w:val="0"/>
        <w:spacing w:after="0"/>
        <w:rPr>
          <w:sz w:val="20"/>
          <w:szCs w:val="20"/>
        </w:rPr>
      </w:pPr>
      <w:hyperlink r:id="rId6" w:history="1">
        <w:r w:rsidR="00F319AF" w:rsidRPr="007B02FF">
          <w:rPr>
            <w:rStyle w:val="Hyperlink"/>
            <w:sz w:val="20"/>
            <w:szCs w:val="20"/>
          </w:rPr>
          <w:t>https://www.equalityni.org/budget</w:t>
        </w:r>
      </w:hyperlink>
    </w:p>
    <w:p w:rsidR="00F319AF" w:rsidRDefault="00171A32" w:rsidP="001C3EA0">
      <w:pPr>
        <w:tabs>
          <w:tab w:val="left" w:pos="993"/>
        </w:tabs>
        <w:autoSpaceDE w:val="0"/>
        <w:autoSpaceDN w:val="0"/>
        <w:adjustRightInd w:val="0"/>
        <w:spacing w:after="0"/>
        <w:rPr>
          <w:sz w:val="20"/>
          <w:szCs w:val="20"/>
        </w:rPr>
      </w:pPr>
      <w:hyperlink r:id="rId7" w:history="1">
        <w:r w:rsidR="00F319AF" w:rsidRPr="007B02FF">
          <w:rPr>
            <w:rStyle w:val="Hyperlink"/>
            <w:sz w:val="20"/>
            <w:szCs w:val="20"/>
          </w:rPr>
          <w:t>https://www.equalityni.org/ECNI/media/ECNI/Publications/Delivering%20Equality/Budget2023-24-ECNIbriefing.pdf</w:t>
        </w:r>
      </w:hyperlink>
    </w:p>
    <w:p w:rsidR="00F319AF" w:rsidRDefault="00F319AF" w:rsidP="001C3EA0">
      <w:pPr>
        <w:tabs>
          <w:tab w:val="left" w:pos="993"/>
        </w:tabs>
        <w:autoSpaceDE w:val="0"/>
        <w:autoSpaceDN w:val="0"/>
        <w:adjustRightInd w:val="0"/>
        <w:spacing w:after="0"/>
        <w:rPr>
          <w:sz w:val="20"/>
          <w:szCs w:val="20"/>
        </w:rPr>
      </w:pPr>
    </w:p>
    <w:p w:rsidR="002C646A" w:rsidRPr="002C646A" w:rsidRDefault="002C646A" w:rsidP="00F319AF">
      <w:pPr>
        <w:tabs>
          <w:tab w:val="left" w:pos="993"/>
        </w:tabs>
        <w:autoSpaceDE w:val="0"/>
        <w:autoSpaceDN w:val="0"/>
        <w:adjustRightInd w:val="0"/>
        <w:spacing w:after="0"/>
        <w:rPr>
          <w:b/>
          <w:sz w:val="20"/>
          <w:szCs w:val="20"/>
        </w:rPr>
      </w:pPr>
      <w:r w:rsidRPr="002C646A">
        <w:rPr>
          <w:b/>
          <w:sz w:val="20"/>
          <w:szCs w:val="20"/>
        </w:rPr>
        <w:t>The Commissioner for Children and Young People (NICCY</w:t>
      </w:r>
    </w:p>
    <w:p w:rsidR="00F319AF" w:rsidRPr="00F319AF" w:rsidRDefault="00F319AF" w:rsidP="00F319AF">
      <w:pPr>
        <w:tabs>
          <w:tab w:val="left" w:pos="993"/>
        </w:tabs>
        <w:autoSpaceDE w:val="0"/>
        <w:autoSpaceDN w:val="0"/>
        <w:adjustRightInd w:val="0"/>
        <w:spacing w:after="0"/>
        <w:rPr>
          <w:sz w:val="20"/>
          <w:szCs w:val="20"/>
        </w:rPr>
      </w:pPr>
      <w:r w:rsidRPr="00F319AF">
        <w:rPr>
          <w:sz w:val="20"/>
          <w:szCs w:val="20"/>
        </w:rPr>
        <w:t>The Commissioner for Children and Young People (NICCY)</w:t>
      </w:r>
      <w:r>
        <w:rPr>
          <w:sz w:val="20"/>
          <w:szCs w:val="20"/>
        </w:rPr>
        <w:t xml:space="preserve"> </w:t>
      </w:r>
      <w:r w:rsidRPr="00F319AF">
        <w:rPr>
          <w:sz w:val="20"/>
          <w:szCs w:val="20"/>
        </w:rPr>
        <w:t>Advice on the Department of Health Draft Budget EQIA</w:t>
      </w:r>
      <w:r>
        <w:rPr>
          <w:sz w:val="20"/>
          <w:szCs w:val="20"/>
        </w:rPr>
        <w:t xml:space="preserve"> </w:t>
      </w:r>
      <w:r w:rsidRPr="00F319AF">
        <w:rPr>
          <w:sz w:val="20"/>
          <w:szCs w:val="20"/>
        </w:rPr>
        <w:t>2023-24</w:t>
      </w:r>
      <w:r>
        <w:rPr>
          <w:sz w:val="20"/>
          <w:szCs w:val="20"/>
        </w:rPr>
        <w:t xml:space="preserve"> (</w:t>
      </w:r>
      <w:r w:rsidRPr="00F319AF">
        <w:rPr>
          <w:sz w:val="20"/>
          <w:szCs w:val="20"/>
        </w:rPr>
        <w:t>30 June 2023</w:t>
      </w:r>
      <w:r>
        <w:rPr>
          <w:sz w:val="20"/>
          <w:szCs w:val="20"/>
        </w:rPr>
        <w:t>)</w:t>
      </w:r>
    </w:p>
    <w:p w:rsidR="00681E9E" w:rsidRDefault="00171A32">
      <w:pPr>
        <w:rPr>
          <w:sz w:val="20"/>
          <w:szCs w:val="20"/>
        </w:rPr>
      </w:pPr>
      <w:hyperlink r:id="rId8" w:history="1">
        <w:r w:rsidR="00CD4B41" w:rsidRPr="007B02FF">
          <w:rPr>
            <w:rStyle w:val="Hyperlink"/>
            <w:sz w:val="20"/>
            <w:szCs w:val="20"/>
          </w:rPr>
          <w:t>https://www.niccy.org/wp-content/uploads/2023/07/NICCY-Advice-on-EQIA-on-Draft-DoH-Budget-2023-24.pdf</w:t>
        </w:r>
      </w:hyperlink>
    </w:p>
    <w:p w:rsidR="00CD4B41" w:rsidRDefault="00CD4B41">
      <w:pPr>
        <w:rPr>
          <w:sz w:val="20"/>
          <w:szCs w:val="20"/>
        </w:rPr>
      </w:pPr>
    </w:p>
    <w:p w:rsidR="00CD4B41" w:rsidRPr="00CD4B41" w:rsidRDefault="00CD4B41">
      <w:pPr>
        <w:rPr>
          <w:sz w:val="20"/>
          <w:szCs w:val="20"/>
        </w:rPr>
      </w:pPr>
      <w:r w:rsidRPr="00CD4B41">
        <w:rPr>
          <w:sz w:val="20"/>
          <w:szCs w:val="20"/>
        </w:rPr>
        <w:t xml:space="preserve">Reading Notes: </w:t>
      </w:r>
      <w:r w:rsidRPr="00CD4B41">
        <w:rPr>
          <w:rStyle w:val="label-above"/>
          <w:rFonts w:cstheme="minorHAnsi"/>
          <w:sz w:val="20"/>
          <w:szCs w:val="20"/>
          <w:shd w:val="clear" w:color="auto" w:fill="FFFFFF"/>
        </w:rPr>
        <w:t>Department of Health Budget 2023-24 Equality Impact Assessment Consultation</w:t>
      </w:r>
      <w:r>
        <w:rPr>
          <w:sz w:val="20"/>
          <w:szCs w:val="20"/>
        </w:rPr>
        <w:t xml:space="preserve"> Document typed Page number 8 is found at PDF</w:t>
      </w:r>
      <w:r w:rsidRPr="00CD4B41">
        <w:rPr>
          <w:sz w:val="20"/>
          <w:szCs w:val="20"/>
        </w:rPr>
        <w:t xml:space="preserve"> page no.10 and </w:t>
      </w:r>
      <w:r>
        <w:rPr>
          <w:sz w:val="20"/>
          <w:szCs w:val="20"/>
        </w:rPr>
        <w:t xml:space="preserve">page </w:t>
      </w:r>
      <w:r w:rsidRPr="00CD4B41">
        <w:rPr>
          <w:sz w:val="20"/>
          <w:szCs w:val="20"/>
        </w:rPr>
        <w:t>18</w:t>
      </w:r>
      <w:r>
        <w:rPr>
          <w:sz w:val="20"/>
          <w:szCs w:val="20"/>
        </w:rPr>
        <w:t xml:space="preserve"> numbered on</w:t>
      </w:r>
      <w:r w:rsidRPr="00CD4B41">
        <w:rPr>
          <w:sz w:val="20"/>
          <w:szCs w:val="20"/>
        </w:rPr>
        <w:t xml:space="preserve"> the</w:t>
      </w:r>
      <w:r>
        <w:rPr>
          <w:sz w:val="20"/>
          <w:szCs w:val="20"/>
        </w:rPr>
        <w:t xml:space="preserve"> Consultation</w:t>
      </w:r>
      <w:r w:rsidRPr="00CD4B41">
        <w:rPr>
          <w:sz w:val="20"/>
          <w:szCs w:val="20"/>
        </w:rPr>
        <w:t xml:space="preserve"> doc is</w:t>
      </w:r>
      <w:r>
        <w:rPr>
          <w:sz w:val="20"/>
          <w:szCs w:val="20"/>
        </w:rPr>
        <w:t xml:space="preserve"> found at PDF </w:t>
      </w:r>
      <w:r w:rsidRPr="00CD4B41">
        <w:rPr>
          <w:sz w:val="20"/>
          <w:szCs w:val="20"/>
        </w:rPr>
        <w:t>page no.20</w:t>
      </w:r>
      <w:r>
        <w:rPr>
          <w:sz w:val="20"/>
          <w:szCs w:val="20"/>
        </w:rPr>
        <w:t xml:space="preserve"> when viewing on through a PDF reader.</w:t>
      </w:r>
    </w:p>
    <w:sectPr w:rsidR="00CD4B41" w:rsidRPr="00CD4B41" w:rsidSect="00681E9E">
      <w:head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F7F" w:rsidRDefault="00E95F7F" w:rsidP="002C0045">
      <w:pPr>
        <w:spacing w:after="0" w:line="240" w:lineRule="auto"/>
      </w:pPr>
      <w:r>
        <w:separator/>
      </w:r>
    </w:p>
  </w:endnote>
  <w:endnote w:type="continuationSeparator" w:id="1">
    <w:p w:rsidR="00E95F7F" w:rsidRDefault="00E95F7F" w:rsidP="002C00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F7F" w:rsidRDefault="00E95F7F" w:rsidP="002C0045">
      <w:pPr>
        <w:spacing w:after="0" w:line="240" w:lineRule="auto"/>
      </w:pPr>
      <w:r>
        <w:separator/>
      </w:r>
    </w:p>
  </w:footnote>
  <w:footnote w:type="continuationSeparator" w:id="1">
    <w:p w:rsidR="00E95F7F" w:rsidRDefault="00E95F7F" w:rsidP="002C00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9770986"/>
      <w:docPartObj>
        <w:docPartGallery w:val="Page Numbers (Top of Page)"/>
        <w:docPartUnique/>
      </w:docPartObj>
    </w:sdtPr>
    <w:sdtContent>
      <w:p w:rsidR="002C0045" w:rsidRDefault="00171A32">
        <w:pPr>
          <w:pStyle w:val="Header"/>
          <w:jc w:val="right"/>
        </w:pPr>
        <w:fldSimple w:instr=" PAGE   \* MERGEFORMAT ">
          <w:r w:rsidR="00571D7C">
            <w:rPr>
              <w:noProof/>
            </w:rPr>
            <w:t>3</w:t>
          </w:r>
        </w:fldSimple>
      </w:p>
    </w:sdtContent>
  </w:sdt>
  <w:p w:rsidR="002C0045" w:rsidRDefault="002C004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C3EA0"/>
    <w:rsid w:val="00011EBA"/>
    <w:rsid w:val="000E7134"/>
    <w:rsid w:val="000F53E9"/>
    <w:rsid w:val="00126A5D"/>
    <w:rsid w:val="00171A32"/>
    <w:rsid w:val="001C3EA0"/>
    <w:rsid w:val="0020623A"/>
    <w:rsid w:val="00227E6F"/>
    <w:rsid w:val="00252FD6"/>
    <w:rsid w:val="002B123A"/>
    <w:rsid w:val="002C0045"/>
    <w:rsid w:val="002C646A"/>
    <w:rsid w:val="00381EAE"/>
    <w:rsid w:val="003D3D7D"/>
    <w:rsid w:val="00431393"/>
    <w:rsid w:val="005368B7"/>
    <w:rsid w:val="00571D7C"/>
    <w:rsid w:val="0059719A"/>
    <w:rsid w:val="005A78F8"/>
    <w:rsid w:val="005B41E9"/>
    <w:rsid w:val="00681E9E"/>
    <w:rsid w:val="00691D2B"/>
    <w:rsid w:val="006E3149"/>
    <w:rsid w:val="007D5568"/>
    <w:rsid w:val="008374D9"/>
    <w:rsid w:val="00A03B19"/>
    <w:rsid w:val="00A13A2D"/>
    <w:rsid w:val="00A54570"/>
    <w:rsid w:val="00A744FF"/>
    <w:rsid w:val="00BC391C"/>
    <w:rsid w:val="00C222CF"/>
    <w:rsid w:val="00C31F63"/>
    <w:rsid w:val="00CD4B41"/>
    <w:rsid w:val="00DA27C0"/>
    <w:rsid w:val="00DC024D"/>
    <w:rsid w:val="00E363CD"/>
    <w:rsid w:val="00E95F7F"/>
    <w:rsid w:val="00EA1964"/>
    <w:rsid w:val="00EB423A"/>
    <w:rsid w:val="00F319AF"/>
    <w:rsid w:val="00F31D2C"/>
    <w:rsid w:val="00F92E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E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3E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above">
    <w:name w:val="label-above"/>
    <w:basedOn w:val="DefaultParagraphFont"/>
    <w:rsid w:val="001C3EA0"/>
  </w:style>
  <w:style w:type="paragraph" w:styleId="Header">
    <w:name w:val="header"/>
    <w:basedOn w:val="Normal"/>
    <w:link w:val="HeaderChar"/>
    <w:uiPriority w:val="99"/>
    <w:unhideWhenUsed/>
    <w:rsid w:val="002C0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0045"/>
  </w:style>
  <w:style w:type="paragraph" w:styleId="Footer">
    <w:name w:val="footer"/>
    <w:basedOn w:val="Normal"/>
    <w:link w:val="FooterChar"/>
    <w:uiPriority w:val="99"/>
    <w:semiHidden/>
    <w:unhideWhenUsed/>
    <w:rsid w:val="002C004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C0045"/>
  </w:style>
  <w:style w:type="character" w:styleId="Hyperlink">
    <w:name w:val="Hyperlink"/>
    <w:basedOn w:val="DefaultParagraphFont"/>
    <w:uiPriority w:val="99"/>
    <w:unhideWhenUsed/>
    <w:rsid w:val="00F319A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iccy.org/wp-content/uploads/2023/07/NICCY-Advice-on-EQIA-on-Draft-DoH-Budget-2023-24.pdf" TargetMode="External"/><Relationship Id="rId3" Type="http://schemas.openxmlformats.org/officeDocument/2006/relationships/webSettings" Target="webSettings.xml"/><Relationship Id="rId7" Type="http://schemas.openxmlformats.org/officeDocument/2006/relationships/hyperlink" Target="https://www.equalityni.org/ECNI/media/ECNI/Publications/Delivering%20Equality/Budget2023-24-ECNIbriefing.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qualityni.org/budge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3</Pages>
  <Words>1351</Words>
  <Characters>7704</Characters>
  <DocSecurity>0</DocSecurity>
  <Lines>64</Lines>
  <Paragraphs>18</Paragraphs>
  <ScaleCrop>false</ScaleCrop>
  <Company/>
  <LinksUpToDate>false</LinksUpToDate>
  <CharactersWithSpaces>9037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2023-08-06T15:34:00Z</dcterms:created>
  <dcterms:modified xsi:type="dcterms:W3CDTF">2023-08-14T09:28:00Z</dcterms:modified>
</cp:coreProperties>
</file>